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3069" w14:textId="77777777" w:rsidR="00443152" w:rsidRPr="00132C1E" w:rsidRDefault="00443152" w:rsidP="00443152">
      <w:pPr>
        <w:rPr>
          <w:rFonts w:ascii="Palatino Linotype" w:hAnsi="Palatino Linotype" w:cs="Times New Roman"/>
          <w:b/>
          <w:sz w:val="24"/>
          <w:szCs w:val="20"/>
        </w:rPr>
      </w:pPr>
      <w:r w:rsidRPr="00132C1E">
        <w:rPr>
          <w:rFonts w:ascii="Palatino Linotype" w:hAnsi="Palatino Linotype" w:cs="Times New Roman"/>
          <w:b/>
          <w:sz w:val="24"/>
          <w:szCs w:val="20"/>
        </w:rPr>
        <w:t xml:space="preserve">Supplementary data </w:t>
      </w:r>
      <w:r w:rsidR="007538A7">
        <w:rPr>
          <w:rFonts w:ascii="Palatino Linotype" w:hAnsi="Palatino Linotype" w:cs="Times New Roman"/>
          <w:b/>
          <w:sz w:val="24"/>
          <w:szCs w:val="20"/>
        </w:rPr>
        <w:t>S</w:t>
      </w:r>
      <w:r w:rsidR="005372ED">
        <w:rPr>
          <w:rFonts w:ascii="Palatino Linotype" w:hAnsi="Palatino Linotype" w:cs="Times New Roman"/>
          <w:b/>
          <w:sz w:val="24"/>
          <w:szCs w:val="20"/>
        </w:rPr>
        <w:t>2</w:t>
      </w:r>
    </w:p>
    <w:p w14:paraId="4AD503BC" w14:textId="77777777" w:rsidR="005A072F" w:rsidRDefault="005A072F" w:rsidP="005A072F">
      <w:pPr>
        <w:rPr>
          <w:rFonts w:ascii="Palatino Linotype" w:hAnsi="Palatino Linotype" w:cs="Times New Roman"/>
          <w:b/>
          <w:szCs w:val="20"/>
        </w:rPr>
      </w:pPr>
    </w:p>
    <w:p w14:paraId="68FD2A19" w14:textId="77777777" w:rsidR="005A072F" w:rsidRPr="005A072F" w:rsidRDefault="005A072F" w:rsidP="005A072F">
      <w:pPr>
        <w:rPr>
          <w:rFonts w:ascii="Palatino Linotype" w:hAnsi="Palatino Linotype" w:cs="Times New Roman"/>
          <w:b/>
          <w:sz w:val="24"/>
          <w:szCs w:val="20"/>
        </w:rPr>
      </w:pPr>
      <w:r>
        <w:rPr>
          <w:rFonts w:ascii="Palatino Linotype" w:hAnsi="Palatino Linotype" w:cs="Times New Roman"/>
          <w:b/>
          <w:sz w:val="24"/>
          <w:szCs w:val="20"/>
        </w:rPr>
        <w:t>Component</w:t>
      </w:r>
      <w:r w:rsidRPr="005A072F">
        <w:rPr>
          <w:rFonts w:ascii="Palatino Linotype" w:hAnsi="Palatino Linotype" w:cs="Times New Roman"/>
          <w:b/>
          <w:sz w:val="24"/>
          <w:szCs w:val="20"/>
        </w:rPr>
        <w:t xml:space="preserve"> verification through HPLC</w:t>
      </w:r>
    </w:p>
    <w:p w14:paraId="5344E303" w14:textId="77777777" w:rsidR="005A072F" w:rsidRPr="005A072F" w:rsidRDefault="005A072F" w:rsidP="005A072F">
      <w:pPr>
        <w:rPr>
          <w:rFonts w:ascii="Palatino Linotype" w:hAnsi="Palatino Linotype" w:cs="Times New Roman"/>
          <w:b/>
          <w:szCs w:val="20"/>
        </w:rPr>
      </w:pPr>
      <w:r>
        <w:rPr>
          <w:rFonts w:ascii="Palatino Linotype" w:hAnsi="Palatino Linotype" w:cs="Times New Roman"/>
          <w:b/>
          <w:szCs w:val="20"/>
        </w:rPr>
        <w:t xml:space="preserve">1. </w:t>
      </w:r>
      <w:r w:rsidRPr="005A072F">
        <w:rPr>
          <w:rFonts w:ascii="Palatino Linotype" w:hAnsi="Palatino Linotype" w:cs="Times New Roman"/>
          <w:b/>
          <w:szCs w:val="20"/>
        </w:rPr>
        <w:t>Materials and methods</w:t>
      </w:r>
    </w:p>
    <w:p w14:paraId="14C5D371" w14:textId="77777777" w:rsidR="005A072F" w:rsidRPr="005A072F" w:rsidRDefault="005A072F" w:rsidP="005A072F">
      <w:pPr>
        <w:rPr>
          <w:rFonts w:ascii="Palatino Linotype" w:hAnsi="Palatino Linotype" w:cs="Times New Roman"/>
          <w:i/>
          <w:szCs w:val="20"/>
        </w:rPr>
      </w:pPr>
      <w:r>
        <w:rPr>
          <w:rFonts w:ascii="Palatino Linotype" w:hAnsi="Palatino Linotype" w:cs="Times New Roman"/>
          <w:i/>
          <w:szCs w:val="20"/>
        </w:rPr>
        <w:t xml:space="preserve">1.1. </w:t>
      </w:r>
      <w:r w:rsidRPr="005A072F">
        <w:rPr>
          <w:rFonts w:ascii="Palatino Linotype" w:hAnsi="Palatino Linotype" w:cs="Times New Roman"/>
          <w:i/>
          <w:szCs w:val="20"/>
        </w:rPr>
        <w:t>Chemicals and reagents</w:t>
      </w:r>
    </w:p>
    <w:p w14:paraId="044D585E" w14:textId="77777777" w:rsidR="005A072F" w:rsidRPr="005A072F" w:rsidRDefault="005A072F" w:rsidP="005A072F">
      <w:pPr>
        <w:rPr>
          <w:rFonts w:ascii="Palatino Linotype" w:hAnsi="Palatino Linotype" w:cs="Times New Roman"/>
          <w:szCs w:val="20"/>
        </w:rPr>
      </w:pPr>
      <w:r w:rsidRPr="005A072F">
        <w:rPr>
          <w:rFonts w:ascii="Palatino Linotype" w:hAnsi="Palatino Linotype" w:cs="Times New Roman"/>
          <w:szCs w:val="20"/>
        </w:rPr>
        <w:t xml:space="preserve">HPLC-grade methanol, acetonitrile, and water were purchased from J.T. Baker Inc. (Phillipsburg, USA). Trifluoroacetic acid (TFA) was purchased from Sigma-Aldrich (St Louis, MO, USA). Benzoic acid and chlorogenic acid were purchased from </w:t>
      </w:r>
      <w:proofErr w:type="spellStart"/>
      <w:r>
        <w:rPr>
          <w:rFonts w:ascii="Palatino Linotype" w:hAnsi="Palatino Linotype" w:cs="Times New Roman"/>
          <w:szCs w:val="20"/>
        </w:rPr>
        <w:t>ChemFace</w:t>
      </w:r>
      <w:proofErr w:type="spellEnd"/>
      <w:r>
        <w:rPr>
          <w:rFonts w:ascii="Palatino Linotype" w:hAnsi="Palatino Linotype" w:cs="Times New Roman"/>
          <w:szCs w:val="20"/>
        </w:rPr>
        <w:t xml:space="preserve"> (Wuhan, Hubei, China).</w:t>
      </w:r>
    </w:p>
    <w:p w14:paraId="2643B81C" w14:textId="77777777" w:rsidR="005A072F" w:rsidRPr="005A072F" w:rsidRDefault="005A072F" w:rsidP="005A072F">
      <w:pPr>
        <w:rPr>
          <w:rFonts w:ascii="Palatino Linotype" w:hAnsi="Palatino Linotype" w:cs="Times New Roman"/>
          <w:i/>
          <w:szCs w:val="20"/>
        </w:rPr>
      </w:pPr>
      <w:r>
        <w:rPr>
          <w:rFonts w:ascii="Palatino Linotype" w:hAnsi="Palatino Linotype" w:cs="Times New Roman"/>
          <w:i/>
          <w:szCs w:val="20"/>
        </w:rPr>
        <w:t xml:space="preserve">1.2. </w:t>
      </w:r>
      <w:r w:rsidRPr="005A072F">
        <w:rPr>
          <w:rFonts w:ascii="Palatino Linotype" w:hAnsi="Palatino Linotype" w:cs="Times New Roman"/>
          <w:i/>
          <w:szCs w:val="20"/>
        </w:rPr>
        <w:t xml:space="preserve">Preparation of standard solution and sample solution </w:t>
      </w:r>
    </w:p>
    <w:p w14:paraId="0EFAD939" w14:textId="77777777" w:rsidR="005A072F" w:rsidRPr="005A072F" w:rsidRDefault="005A072F" w:rsidP="005A072F">
      <w:pPr>
        <w:rPr>
          <w:rFonts w:ascii="Palatino Linotype" w:hAnsi="Palatino Linotype" w:cs="Times New Roman"/>
          <w:szCs w:val="20"/>
        </w:rPr>
      </w:pPr>
      <w:r w:rsidRPr="005A072F">
        <w:rPr>
          <w:rFonts w:ascii="Palatino Linotype" w:hAnsi="Palatino Linotype" w:cs="Times New Roman"/>
          <w:szCs w:val="20"/>
        </w:rPr>
        <w:t>Benzoic acid and chlorogenic acid were accurately weighed and dissolved in the methanol</w:t>
      </w:r>
      <w:r>
        <w:rPr>
          <w:rFonts w:ascii="Palatino Linotype" w:hAnsi="Palatino Linotype" w:cs="Times New Roman"/>
          <w:szCs w:val="20"/>
        </w:rPr>
        <w:t xml:space="preserve"> at the concentrations of 1000 </w:t>
      </w:r>
      <w:r w:rsidRPr="005A072F">
        <w:rPr>
          <w:rFonts w:ascii="Symbol" w:hAnsi="Symbol" w:cs="Times New Roman"/>
          <w:szCs w:val="20"/>
        </w:rPr>
        <w:t></w:t>
      </w:r>
      <w:r w:rsidRPr="005A072F">
        <w:rPr>
          <w:rFonts w:ascii="Palatino Linotype" w:hAnsi="Palatino Linotype" w:cs="Times New Roman"/>
          <w:szCs w:val="20"/>
        </w:rPr>
        <w:t>g/</w:t>
      </w:r>
      <w:r>
        <w:rPr>
          <w:rFonts w:ascii="Palatino Linotype" w:hAnsi="Palatino Linotype" w:cs="Times New Roman"/>
          <w:szCs w:val="20"/>
        </w:rPr>
        <w:t>mL to make a standard solution. Sample (CeBiNES-02) was</w:t>
      </w:r>
      <w:r w:rsidRPr="005A072F">
        <w:rPr>
          <w:rFonts w:ascii="Palatino Linotype" w:hAnsi="Palatino Linotype" w:cs="Times New Roman"/>
          <w:szCs w:val="20"/>
        </w:rPr>
        <w:t xml:space="preserve"> diluted with the HPLC-grade methanol and then filtered through a 0.2 </w:t>
      </w:r>
      <w:r w:rsidRPr="005A072F">
        <w:rPr>
          <w:rFonts w:ascii="Symbol" w:hAnsi="Symbol" w:cs="Times New Roman"/>
          <w:szCs w:val="20"/>
        </w:rPr>
        <w:t></w:t>
      </w:r>
      <w:r w:rsidRPr="005A072F">
        <w:rPr>
          <w:rFonts w:ascii="Palatino Linotype" w:hAnsi="Palatino Linotype" w:cs="Times New Roman"/>
          <w:szCs w:val="20"/>
        </w:rPr>
        <w:t>m syringe filter (</w:t>
      </w:r>
      <w:proofErr w:type="spellStart"/>
      <w:r w:rsidRPr="005A072F">
        <w:rPr>
          <w:rFonts w:ascii="Palatino Linotype" w:hAnsi="Palatino Linotype" w:cs="Times New Roman"/>
          <w:szCs w:val="20"/>
        </w:rPr>
        <w:t>BioFACTTM</w:t>
      </w:r>
      <w:proofErr w:type="spellEnd"/>
      <w:r w:rsidRPr="005A072F">
        <w:rPr>
          <w:rFonts w:ascii="Palatino Linotype" w:hAnsi="Palatino Linotype" w:cs="Times New Roman"/>
          <w:szCs w:val="20"/>
        </w:rPr>
        <w:t xml:space="preserve">, </w:t>
      </w:r>
      <w:r>
        <w:rPr>
          <w:rFonts w:ascii="Palatino Linotype" w:hAnsi="Palatino Linotype" w:cs="Times New Roman"/>
          <w:szCs w:val="20"/>
        </w:rPr>
        <w:t>Korea) prior to HPLC injection.</w:t>
      </w:r>
    </w:p>
    <w:p w14:paraId="486C2B62" w14:textId="77777777" w:rsidR="005A072F" w:rsidRPr="005A072F" w:rsidRDefault="005A072F" w:rsidP="005A072F">
      <w:pPr>
        <w:rPr>
          <w:rFonts w:ascii="Palatino Linotype" w:hAnsi="Palatino Linotype" w:cs="Times New Roman"/>
          <w:i/>
          <w:szCs w:val="20"/>
        </w:rPr>
      </w:pPr>
      <w:r w:rsidRPr="005A072F">
        <w:rPr>
          <w:rFonts w:ascii="Palatino Linotype" w:hAnsi="Palatino Linotype" w:cs="Times New Roman"/>
          <w:i/>
          <w:szCs w:val="20"/>
        </w:rPr>
        <w:t>1.3. Chromatography and mass spectrometry</w:t>
      </w:r>
    </w:p>
    <w:p w14:paraId="78C939F8" w14:textId="77777777" w:rsidR="005A072F" w:rsidRPr="005A072F" w:rsidRDefault="005A072F" w:rsidP="005A072F">
      <w:pPr>
        <w:rPr>
          <w:rFonts w:ascii="Palatino Linotype" w:hAnsi="Palatino Linotype" w:cs="Times New Roman"/>
          <w:szCs w:val="20"/>
        </w:rPr>
      </w:pPr>
      <w:r w:rsidRPr="005A072F">
        <w:rPr>
          <w:rFonts w:ascii="Palatino Linotype" w:hAnsi="Palatino Linotype" w:cs="Times New Roman"/>
          <w:szCs w:val="20"/>
        </w:rPr>
        <w:t xml:space="preserve">Qualitative analysis was performed using Agilent 1200 series (Agilent Technologies, Palo Alto, CA, USA) and data was acquired using </w:t>
      </w:r>
      <w:proofErr w:type="spellStart"/>
      <w:r w:rsidRPr="005A072F">
        <w:rPr>
          <w:rFonts w:ascii="Palatino Linotype" w:hAnsi="Palatino Linotype" w:cs="Times New Roman"/>
          <w:szCs w:val="20"/>
        </w:rPr>
        <w:t>ChemStation</w:t>
      </w:r>
      <w:proofErr w:type="spellEnd"/>
      <w:r w:rsidRPr="005A072F">
        <w:rPr>
          <w:rFonts w:ascii="Palatino Linotype" w:hAnsi="Palatino Linotype" w:cs="Times New Roman"/>
          <w:szCs w:val="20"/>
        </w:rPr>
        <w:t xml:space="preserve"> (Agilent Technologies, Palo Alto, CA, USA). A </w:t>
      </w:r>
      <w:proofErr w:type="spellStart"/>
      <w:r w:rsidRPr="005A072F">
        <w:rPr>
          <w:rFonts w:ascii="Palatino Linotype" w:hAnsi="Palatino Linotype" w:cs="Times New Roman"/>
          <w:szCs w:val="20"/>
        </w:rPr>
        <w:t>Capcell</w:t>
      </w:r>
      <w:proofErr w:type="spellEnd"/>
      <w:r w:rsidRPr="005A072F">
        <w:rPr>
          <w:rFonts w:ascii="Palatino Linotype" w:hAnsi="Palatino Linotype" w:cs="Times New Roman"/>
          <w:szCs w:val="20"/>
        </w:rPr>
        <w:t xml:space="preserve"> Pak Mg II C18 column (4.6 mm × 250 mm, 5 </w:t>
      </w:r>
      <w:proofErr w:type="spellStart"/>
      <w:r w:rsidRPr="005A072F">
        <w:rPr>
          <w:rFonts w:ascii="Palatino Linotype" w:hAnsi="Palatino Linotype" w:cs="Times New Roman"/>
          <w:szCs w:val="20"/>
        </w:rPr>
        <w:t>μm</w:t>
      </w:r>
      <w:proofErr w:type="spellEnd"/>
      <w:r w:rsidRPr="005A072F">
        <w:rPr>
          <w:rFonts w:ascii="Palatino Linotype" w:hAnsi="Palatino Linotype" w:cs="Times New Roman"/>
          <w:szCs w:val="20"/>
        </w:rPr>
        <w:t xml:space="preserve">; Shiseido, Tokyo, Japan) was used for separation of analytes in the column oven at 30 °C. The flow rate was set at 1 mL/min and the injection volume was set at 10 </w:t>
      </w:r>
      <w:proofErr w:type="spellStart"/>
      <w:r w:rsidRPr="005A072F">
        <w:rPr>
          <w:rFonts w:ascii="Palatino Linotype" w:hAnsi="Palatino Linotype" w:cs="Times New Roman"/>
          <w:szCs w:val="20"/>
        </w:rPr>
        <w:t>μL</w:t>
      </w:r>
      <w:proofErr w:type="spellEnd"/>
      <w:r w:rsidRPr="005A072F">
        <w:rPr>
          <w:rFonts w:ascii="Palatino Linotype" w:hAnsi="Palatino Linotype" w:cs="Times New Roman"/>
          <w:szCs w:val="20"/>
        </w:rPr>
        <w:t xml:space="preserve">. Gradient elution system was applied with the mobile phase consisted of water containing 0.1% trifluoroacetic acid (A) and acetonitrile (B): 10–10% (B) over 0–2 min, 10–70% (B) over 10–45 min, held for 3 min, and then re–equilibrated to 10% until the end of analysis. The detection wavelengths </w:t>
      </w:r>
      <w:r>
        <w:rPr>
          <w:rFonts w:ascii="Palatino Linotype" w:hAnsi="Palatino Linotype" w:cs="Times New Roman"/>
          <w:szCs w:val="20"/>
        </w:rPr>
        <w:t xml:space="preserve">were set at UV 230 and 310 nm. </w:t>
      </w:r>
    </w:p>
    <w:p w14:paraId="5AC1EA76" w14:textId="77777777" w:rsidR="005A072F" w:rsidRPr="005A072F" w:rsidRDefault="005A072F" w:rsidP="005A072F">
      <w:pPr>
        <w:rPr>
          <w:rFonts w:ascii="Palatino Linotype" w:hAnsi="Palatino Linotype" w:cs="Times New Roman"/>
          <w:b/>
          <w:szCs w:val="20"/>
        </w:rPr>
      </w:pPr>
      <w:r>
        <w:rPr>
          <w:rFonts w:ascii="Palatino Linotype" w:hAnsi="Palatino Linotype" w:cs="Times New Roman"/>
          <w:b/>
          <w:szCs w:val="20"/>
        </w:rPr>
        <w:t xml:space="preserve">2. </w:t>
      </w:r>
      <w:r w:rsidRPr="005A072F">
        <w:rPr>
          <w:rFonts w:ascii="Palatino Linotype" w:hAnsi="Palatino Linotype" w:cs="Times New Roman"/>
          <w:b/>
          <w:szCs w:val="20"/>
        </w:rPr>
        <w:t>Results</w:t>
      </w:r>
    </w:p>
    <w:p w14:paraId="5C4C8503" w14:textId="77777777" w:rsidR="005A072F" w:rsidRPr="005A072F" w:rsidRDefault="005A072F" w:rsidP="005A072F">
      <w:pPr>
        <w:rPr>
          <w:rFonts w:ascii="Palatino Linotype" w:hAnsi="Palatino Linotype" w:cs="Times New Roman"/>
          <w:i/>
          <w:szCs w:val="20"/>
        </w:rPr>
      </w:pPr>
      <w:r w:rsidRPr="005A072F">
        <w:rPr>
          <w:rFonts w:ascii="Palatino Linotype" w:hAnsi="Palatino Linotype" w:cs="Times New Roman"/>
          <w:i/>
          <w:szCs w:val="20"/>
        </w:rPr>
        <w:t xml:space="preserve">2.1. Identification of benzoic acid and chlorogenic acid in the </w:t>
      </w:r>
      <w:r>
        <w:rPr>
          <w:rFonts w:ascii="Palatino Linotype" w:hAnsi="Palatino Linotype" w:cs="Times New Roman"/>
          <w:i/>
          <w:szCs w:val="20"/>
        </w:rPr>
        <w:t>sample</w:t>
      </w:r>
    </w:p>
    <w:p w14:paraId="7E979D40" w14:textId="77777777" w:rsidR="005A072F" w:rsidRPr="005A072F" w:rsidRDefault="005A072F" w:rsidP="005A072F">
      <w:pPr>
        <w:rPr>
          <w:rFonts w:ascii="Palatino Linotype" w:hAnsi="Palatino Linotype" w:cs="Times New Roman"/>
          <w:szCs w:val="20"/>
        </w:rPr>
      </w:pPr>
      <w:r w:rsidRPr="005A072F">
        <w:rPr>
          <w:rFonts w:ascii="Palatino Linotype" w:hAnsi="Palatino Linotype" w:cs="Times New Roman"/>
          <w:szCs w:val="20"/>
        </w:rPr>
        <w:t>The peak of chlorogenic acid was detected in the sample (</w:t>
      </w:r>
      <w:proofErr w:type="spellStart"/>
      <w:r w:rsidRPr="005A072F">
        <w:rPr>
          <w:rFonts w:ascii="Palatino Linotype" w:hAnsi="Palatino Linotype" w:cs="Times New Roman"/>
          <w:szCs w:val="20"/>
        </w:rPr>
        <w:t>tR</w:t>
      </w:r>
      <w:proofErr w:type="spellEnd"/>
      <w:r w:rsidRPr="005A072F">
        <w:rPr>
          <w:rFonts w:ascii="Palatino Linotype" w:hAnsi="Palatino Linotype" w:cs="Times New Roman"/>
          <w:szCs w:val="20"/>
        </w:rPr>
        <w:t xml:space="preserve">: 10.64 min) (Fig. </w:t>
      </w:r>
      <w:r w:rsidR="00895171">
        <w:rPr>
          <w:rFonts w:ascii="Palatino Linotype" w:hAnsi="Palatino Linotype" w:cs="Times New Roman"/>
          <w:szCs w:val="20"/>
        </w:rPr>
        <w:t>S4A and S4</w:t>
      </w:r>
      <w:r w:rsidRPr="005A072F">
        <w:rPr>
          <w:rFonts w:ascii="Palatino Linotype" w:hAnsi="Palatino Linotype" w:cs="Times New Roman"/>
          <w:szCs w:val="20"/>
        </w:rPr>
        <w:t>B) and that of benzoic acid peak was detected in th</w:t>
      </w:r>
      <w:r w:rsidR="00895171">
        <w:rPr>
          <w:rFonts w:ascii="Palatino Linotype" w:hAnsi="Palatino Linotype" w:cs="Times New Roman"/>
          <w:szCs w:val="20"/>
        </w:rPr>
        <w:t>e sample (</w:t>
      </w:r>
      <w:proofErr w:type="spellStart"/>
      <w:r w:rsidR="00895171">
        <w:rPr>
          <w:rFonts w:ascii="Palatino Linotype" w:hAnsi="Palatino Linotype" w:cs="Times New Roman"/>
          <w:szCs w:val="20"/>
        </w:rPr>
        <w:t>tR</w:t>
      </w:r>
      <w:proofErr w:type="spellEnd"/>
      <w:r w:rsidR="00895171">
        <w:rPr>
          <w:rFonts w:ascii="Palatino Linotype" w:hAnsi="Palatino Linotype" w:cs="Times New Roman"/>
          <w:szCs w:val="20"/>
        </w:rPr>
        <w:t>: 20.04 min) (Fig. S4C and S4</w:t>
      </w:r>
      <w:r w:rsidRPr="005A072F">
        <w:rPr>
          <w:rFonts w:ascii="Palatino Linotype" w:hAnsi="Palatino Linotype" w:cs="Times New Roman"/>
          <w:szCs w:val="20"/>
        </w:rPr>
        <w:t xml:space="preserve">D), which were identified using the retention time and the UV spectrum of each standard compound. </w:t>
      </w:r>
    </w:p>
    <w:p w14:paraId="1978A64D" w14:textId="77777777" w:rsidR="005A072F" w:rsidRPr="005A072F" w:rsidRDefault="005A072F" w:rsidP="005A072F">
      <w:pPr>
        <w:jc w:val="center"/>
        <w:rPr>
          <w:rFonts w:ascii="Palatino Linotype" w:hAnsi="Palatino Linotype" w:cs="Times New Roman"/>
          <w:b/>
          <w:szCs w:val="20"/>
        </w:rPr>
      </w:pPr>
      <w:r w:rsidRPr="005A072F">
        <w:rPr>
          <w:rFonts w:ascii="Palatino Linotype" w:hAnsi="Palatino Linotype" w:cs="Times New Roman"/>
          <w:b/>
          <w:noProof/>
          <w:szCs w:val="20"/>
        </w:rPr>
        <w:lastRenderedPageBreak/>
        <w:drawing>
          <wp:inline distT="0" distB="0" distL="0" distR="0" wp14:anchorId="299877E0" wp14:editId="593B87F1">
            <wp:extent cx="5293190" cy="7035352"/>
            <wp:effectExtent l="0" t="0" r="3175" b="0"/>
            <wp:docPr id="2" name="그림 2" descr="F:\data set\연구\알러지성 피부염\2024\CeBiNES\동물연구\CeBiNES 조성 관련\HPLC\Fig.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ata set\연구\알러지성 피부염\2024\CeBiNES\동물연구\CeBiNES 조성 관련\HPLC\Fig. 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149" cy="704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089CD" w14:textId="1143B5E5" w:rsidR="00443152" w:rsidRPr="00576729" w:rsidRDefault="005A072F" w:rsidP="005A072F">
      <w:pPr>
        <w:rPr>
          <w:rFonts w:ascii="Palatino Linotype" w:hAnsi="Palatino Linotype" w:cs="Times New Roman"/>
          <w:b/>
          <w:szCs w:val="20"/>
        </w:rPr>
      </w:pPr>
      <w:r w:rsidRPr="005A072F">
        <w:rPr>
          <w:rFonts w:ascii="Palatino Linotype" w:hAnsi="Palatino Linotype" w:cs="Times New Roman"/>
          <w:b/>
          <w:szCs w:val="20"/>
        </w:rPr>
        <w:t xml:space="preserve">Figure </w:t>
      </w:r>
      <w:r w:rsidR="005372ED">
        <w:rPr>
          <w:rFonts w:ascii="Palatino Linotype" w:hAnsi="Palatino Linotype" w:cs="Times New Roman"/>
          <w:b/>
          <w:szCs w:val="20"/>
        </w:rPr>
        <w:t>S</w:t>
      </w:r>
      <w:r w:rsidR="00761E27">
        <w:rPr>
          <w:rFonts w:ascii="Palatino Linotype" w:hAnsi="Palatino Linotype" w:cs="Times New Roman"/>
          <w:b/>
          <w:szCs w:val="20"/>
        </w:rPr>
        <w:t>1</w:t>
      </w:r>
      <w:r w:rsidRPr="005A072F">
        <w:rPr>
          <w:rFonts w:ascii="Palatino Linotype" w:hAnsi="Palatino Linotype" w:cs="Times New Roman"/>
          <w:b/>
          <w:szCs w:val="20"/>
        </w:rPr>
        <w:t xml:space="preserve">. </w:t>
      </w:r>
      <w:r w:rsidRPr="00576729">
        <w:rPr>
          <w:rFonts w:ascii="Palatino Linotype" w:hAnsi="Palatino Linotype" w:cs="Times New Roman"/>
          <w:szCs w:val="20"/>
        </w:rPr>
        <w:t xml:space="preserve">Chromatograms of </w:t>
      </w:r>
      <w:r w:rsidR="00576729" w:rsidRPr="00576729">
        <w:rPr>
          <w:rFonts w:ascii="Palatino Linotype" w:hAnsi="Palatino Linotype" w:cs="Times New Roman"/>
          <w:szCs w:val="20"/>
        </w:rPr>
        <w:t>CeBiNES-02</w:t>
      </w:r>
      <w:r w:rsidR="00576729">
        <w:rPr>
          <w:rFonts w:ascii="Palatino Linotype" w:hAnsi="Palatino Linotype" w:cs="Times New Roman"/>
          <w:szCs w:val="20"/>
        </w:rPr>
        <w:t>.</w:t>
      </w:r>
      <w:r w:rsidR="00576729">
        <w:rPr>
          <w:rFonts w:ascii="Palatino Linotype" w:hAnsi="Palatino Linotype" w:cs="Times New Roman" w:hint="eastAsia"/>
          <w:b/>
          <w:szCs w:val="20"/>
        </w:rPr>
        <w:t xml:space="preserve"> </w:t>
      </w:r>
      <w:r w:rsidR="00576729" w:rsidRPr="00576729">
        <w:rPr>
          <w:rFonts w:ascii="Palatino Linotype" w:hAnsi="Palatino Linotype" w:cs="Times New Roman"/>
          <w:szCs w:val="20"/>
        </w:rPr>
        <w:t xml:space="preserve">Chromatograms of </w:t>
      </w:r>
      <w:r w:rsidRPr="00576729">
        <w:rPr>
          <w:rFonts w:ascii="Palatino Linotype" w:hAnsi="Palatino Linotype" w:cs="Times New Roman"/>
          <w:szCs w:val="20"/>
        </w:rPr>
        <w:t>chlorogenic acid solution (A), the</w:t>
      </w:r>
      <w:r w:rsidRPr="005A072F">
        <w:rPr>
          <w:rFonts w:ascii="Palatino Linotype" w:hAnsi="Palatino Linotype" w:cs="Times New Roman"/>
          <w:szCs w:val="20"/>
        </w:rPr>
        <w:t xml:space="preserve"> sample solution (B) detected at the UV 230 nm, and chromatograms of benzoic acid solution (C) and the sample (D) detected at the UV 310 nm.</w:t>
      </w:r>
    </w:p>
    <w:p w14:paraId="78034F4B" w14:textId="77777777" w:rsidR="005A072F" w:rsidRPr="00576729" w:rsidRDefault="005A072F" w:rsidP="00443152">
      <w:pPr>
        <w:rPr>
          <w:rFonts w:ascii="Palatino Linotype" w:hAnsi="Palatino Linotype" w:cs="Times New Roman"/>
          <w:b/>
          <w:szCs w:val="20"/>
        </w:rPr>
      </w:pPr>
    </w:p>
    <w:p w14:paraId="3205D793" w14:textId="77777777" w:rsidR="005A072F" w:rsidRDefault="005A072F" w:rsidP="00443152">
      <w:pPr>
        <w:rPr>
          <w:rFonts w:ascii="Palatino Linotype" w:hAnsi="Palatino Linotype" w:cs="Times New Roman"/>
          <w:b/>
          <w:szCs w:val="20"/>
        </w:rPr>
      </w:pPr>
    </w:p>
    <w:p w14:paraId="252BE876" w14:textId="77777777" w:rsidR="005A072F" w:rsidRPr="007538A7" w:rsidRDefault="005A072F" w:rsidP="00443152">
      <w:pPr>
        <w:rPr>
          <w:rFonts w:ascii="Palatino Linotype" w:hAnsi="Palatino Linotype" w:cs="Times New Roman"/>
          <w:b/>
          <w:szCs w:val="20"/>
        </w:rPr>
      </w:pPr>
    </w:p>
    <w:p w14:paraId="2081CA57" w14:textId="77777777" w:rsidR="005A072F" w:rsidRPr="005A072F" w:rsidRDefault="005A072F" w:rsidP="005A072F">
      <w:pPr>
        <w:rPr>
          <w:rFonts w:ascii="Palatino Linotype" w:hAnsi="Palatino Linotype" w:cs="Times New Roman"/>
          <w:b/>
          <w:sz w:val="24"/>
          <w:szCs w:val="20"/>
        </w:rPr>
      </w:pPr>
      <w:r>
        <w:rPr>
          <w:rFonts w:ascii="Palatino Linotype" w:hAnsi="Palatino Linotype" w:cs="Times New Roman"/>
          <w:b/>
          <w:sz w:val="24"/>
          <w:szCs w:val="20"/>
        </w:rPr>
        <w:lastRenderedPageBreak/>
        <w:t>Component verification results through G</w:t>
      </w:r>
      <w:r w:rsidRPr="005A072F">
        <w:rPr>
          <w:rFonts w:ascii="Palatino Linotype" w:hAnsi="Palatino Linotype" w:cs="Times New Roman"/>
          <w:b/>
          <w:sz w:val="24"/>
          <w:szCs w:val="20"/>
        </w:rPr>
        <w:t>C</w:t>
      </w:r>
    </w:p>
    <w:p w14:paraId="2E3C2C6B" w14:textId="77777777" w:rsidR="005A072F" w:rsidRDefault="005A072F">
      <w:pPr>
        <w:rPr>
          <w:rFonts w:ascii="Palatino Linotype" w:hAnsi="Palatino Linotype" w:cs="Times New Roman"/>
          <w:b/>
          <w:szCs w:val="20"/>
        </w:rPr>
      </w:pPr>
    </w:p>
    <w:p w14:paraId="5580E348" w14:textId="7B7F75DB" w:rsidR="006B797E" w:rsidRDefault="00443152">
      <w:pPr>
        <w:rPr>
          <w:rFonts w:ascii="Palatino Linotype" w:hAnsi="Palatino Linotype" w:cs="Times New Roman"/>
          <w:szCs w:val="20"/>
        </w:rPr>
      </w:pPr>
      <w:r w:rsidRPr="003A5CA8">
        <w:rPr>
          <w:rFonts w:ascii="Palatino Linotype" w:hAnsi="Palatino Linotype" w:cs="Times New Roman"/>
          <w:b/>
          <w:szCs w:val="20"/>
        </w:rPr>
        <w:t xml:space="preserve">Table </w:t>
      </w:r>
      <w:r w:rsidR="00F946F0">
        <w:rPr>
          <w:rFonts w:ascii="Palatino Linotype" w:hAnsi="Palatino Linotype" w:cs="Times New Roman"/>
          <w:b/>
          <w:szCs w:val="20"/>
        </w:rPr>
        <w:t>S</w:t>
      </w:r>
      <w:r w:rsidR="00761E27">
        <w:rPr>
          <w:rFonts w:ascii="Palatino Linotype" w:hAnsi="Palatino Linotype" w:cs="Times New Roman"/>
          <w:b/>
          <w:szCs w:val="20"/>
        </w:rPr>
        <w:t>2</w:t>
      </w:r>
      <w:r w:rsidRPr="003A5CA8">
        <w:rPr>
          <w:rFonts w:ascii="Palatino Linotype" w:hAnsi="Palatino Linotype" w:cs="Times New Roman"/>
          <w:b/>
          <w:szCs w:val="20"/>
        </w:rPr>
        <w:t xml:space="preserve">. </w:t>
      </w:r>
      <w:r w:rsidR="00895171" w:rsidRPr="00895171">
        <w:rPr>
          <w:rFonts w:ascii="Palatino Linotype" w:hAnsi="Palatino Linotype" w:cs="Times New Roman"/>
          <w:szCs w:val="20"/>
        </w:rPr>
        <w:t>Predicted</w:t>
      </w:r>
      <w:r w:rsidR="00895171">
        <w:rPr>
          <w:rFonts w:ascii="Palatino Linotype" w:hAnsi="Palatino Linotype" w:cs="Times New Roman"/>
          <w:b/>
          <w:szCs w:val="20"/>
        </w:rPr>
        <w:t xml:space="preserve"> </w:t>
      </w:r>
      <w:r w:rsidR="00895171">
        <w:rPr>
          <w:rFonts w:ascii="Palatino Linotype" w:hAnsi="Palatino Linotype" w:cs="Times New Roman"/>
          <w:szCs w:val="20"/>
        </w:rPr>
        <w:t>C</w:t>
      </w:r>
      <w:r w:rsidR="00EE4F21">
        <w:rPr>
          <w:rFonts w:ascii="Palatino Linotype" w:hAnsi="Palatino Linotype" w:cs="Times New Roman"/>
          <w:szCs w:val="20"/>
        </w:rPr>
        <w:t xml:space="preserve">omponents of </w:t>
      </w:r>
      <w:proofErr w:type="spellStart"/>
      <w:r w:rsidR="00EE4F21">
        <w:rPr>
          <w:rFonts w:ascii="Palatino Linotype" w:hAnsi="Palatino Linotype" w:cs="Times New Roman"/>
          <w:szCs w:val="20"/>
        </w:rPr>
        <w:t>CeBiNES</w:t>
      </w:r>
      <w:proofErr w:type="spellEnd"/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6569"/>
        <w:gridCol w:w="1135"/>
      </w:tblGrid>
      <w:tr w:rsidR="00EE4F21" w:rsidRPr="00EE4F21" w14:paraId="7F49BCC9" w14:textId="77777777" w:rsidTr="00EE4F21">
        <w:trPr>
          <w:trHeight w:val="56"/>
        </w:trPr>
        <w:tc>
          <w:tcPr>
            <w:tcW w:w="569" w:type="dxa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9C15E6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No.</w:t>
            </w:r>
          </w:p>
        </w:tc>
        <w:tc>
          <w:tcPr>
            <w:tcW w:w="6569" w:type="dxa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01031B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1135" w:type="dxa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E0E187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Amount</w:t>
            </w:r>
          </w:p>
          <w:p w14:paraId="1E38ACCB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(</w:t>
            </w:r>
            <w:proofErr w:type="spellStart"/>
            <w:r w:rsidRPr="00EE4F21">
              <w:rPr>
                <w:rFonts w:ascii="Palatino Linotype" w:eastAsia="함초롬바탕" w:hAnsi="Palatino Linotype" w:cs="함초롬바탕"/>
                <w:color w:val="000000"/>
                <w:kern w:val="0"/>
                <w:szCs w:val="20"/>
              </w:rPr>
              <w:t>μ</w:t>
            </w: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g</w:t>
            </w:r>
            <w:proofErr w:type="spellEnd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/kg)</w:t>
            </w:r>
          </w:p>
        </w:tc>
      </w:tr>
      <w:tr w:rsidR="00EE4F21" w:rsidRPr="00EE4F21" w14:paraId="7A85B052" w14:textId="77777777" w:rsidTr="00EE4F21">
        <w:trPr>
          <w:trHeight w:val="56"/>
        </w:trPr>
        <w:tc>
          <w:tcPr>
            <w:tcW w:w="569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DC7171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</w:t>
            </w:r>
          </w:p>
        </w:tc>
        <w:tc>
          <w:tcPr>
            <w:tcW w:w="6569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F8D0CC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Hexanal, 2-ethyl-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6EE64C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1,020</w:t>
            </w:r>
          </w:p>
        </w:tc>
      </w:tr>
      <w:tr w:rsidR="00EE4F21" w:rsidRPr="00EE4F21" w14:paraId="0CDD00E2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CA3B43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5074BF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Ethanol, 2-(2-ethoxyethoxy)-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9BA385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112</w:t>
            </w:r>
          </w:p>
        </w:tc>
      </w:tr>
      <w:tr w:rsidR="00EE4F21" w:rsidRPr="00EE4F21" w14:paraId="5CDD0FD7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77903B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3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E4EEC4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Ethanol, 2-(2-butoxyethoxy)-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A8AC0C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576</w:t>
            </w:r>
          </w:p>
        </w:tc>
      </w:tr>
      <w:tr w:rsidR="00EE4F21" w:rsidRPr="00EE4F21" w14:paraId="3991A202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B58FE3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4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5DB6B3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6-Octen-1-ol, 3,7-dimethyl-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36FCEB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496</w:t>
            </w:r>
          </w:p>
        </w:tc>
      </w:tr>
      <w:tr w:rsidR="00EE4F21" w:rsidRPr="00EE4F21" w14:paraId="306C3967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00EA04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5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1E5346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proofErr w:type="spellStart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Benzenepropanoic</w:t>
            </w:r>
            <w:proofErr w:type="spellEnd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 xml:space="preserve"> acid, ethyl ester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6D8AA2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64.6</w:t>
            </w:r>
          </w:p>
        </w:tc>
      </w:tr>
      <w:tr w:rsidR="00EE4F21" w:rsidRPr="00EE4F21" w14:paraId="4843A672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E2E202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6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054C68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Propanoic acid, 2-methyl-2,2-dimethyl-1-(2-hydroxy-1-methylethyl)propyl ester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50F7EB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139</w:t>
            </w:r>
          </w:p>
        </w:tc>
      </w:tr>
      <w:tr w:rsidR="00EE4F21" w:rsidRPr="00EE4F21" w14:paraId="0BEFBED0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554678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7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7D4860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Propanoic acid, 2-methyl-3-hydroxy-2,4,4-trimethylpentyl ester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4E8277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173</w:t>
            </w:r>
          </w:p>
        </w:tc>
      </w:tr>
      <w:tr w:rsidR="00EE4F21" w:rsidRPr="00EE4F21" w14:paraId="26DD5848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77F228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8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918BAD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3’,5’-Dimethoxyacetophenone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A82698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244</w:t>
            </w:r>
          </w:p>
        </w:tc>
      </w:tr>
      <w:tr w:rsidR="00EE4F21" w:rsidRPr="00EE4F21" w14:paraId="652B42C4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908B70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9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4213E5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Phenol, 2,4-bis(1,1-dimethylethyl)-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01E140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117</w:t>
            </w:r>
          </w:p>
        </w:tc>
      </w:tr>
      <w:tr w:rsidR="00EE4F21" w:rsidRPr="00EE4F21" w14:paraId="33E86252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AD5655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D5E1C1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Dodecanoic acid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429204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119</w:t>
            </w:r>
          </w:p>
        </w:tc>
      </w:tr>
      <w:tr w:rsidR="00EE4F21" w:rsidRPr="00EE4F21" w14:paraId="103FC8F7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10A679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11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CF6320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Diethyl phthalate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1A7D25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350</w:t>
            </w:r>
          </w:p>
        </w:tc>
      </w:tr>
      <w:tr w:rsidR="00EE4F21" w:rsidRPr="00EE4F21" w14:paraId="66D4B418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0D5B02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694D2A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Propanoic acid, 2-methyl-1-(1,1-dimethylethyl)-2-methyl-1 3-propanediyl ester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C244C2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303</w:t>
            </w:r>
          </w:p>
        </w:tc>
      </w:tr>
      <w:tr w:rsidR="00EE4F21" w:rsidRPr="00EE4F21" w14:paraId="44363185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0DF309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13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314C79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proofErr w:type="spellStart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Hexanedionic</w:t>
            </w:r>
            <w:proofErr w:type="spellEnd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 xml:space="preserve"> acid, bis(-</w:t>
            </w:r>
            <w:proofErr w:type="spellStart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methylpropyl</w:t>
            </w:r>
            <w:proofErr w:type="spellEnd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) ester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4FC49B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102</w:t>
            </w:r>
          </w:p>
        </w:tc>
      </w:tr>
      <w:tr w:rsidR="00EE4F21" w:rsidRPr="00EE4F21" w14:paraId="7DB14E3A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169288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14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0055BA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proofErr w:type="spellStart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Tetradecanoic</w:t>
            </w:r>
            <w:proofErr w:type="spellEnd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 xml:space="preserve"> acid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E5B72E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287</w:t>
            </w:r>
          </w:p>
        </w:tc>
      </w:tr>
      <w:tr w:rsidR="00EE4F21" w:rsidRPr="00EE4F21" w14:paraId="5346F1E5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130447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97DF59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 xml:space="preserve">Phthalic acid, </w:t>
            </w:r>
            <w:proofErr w:type="spellStart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cyclohexylmethyl</w:t>
            </w:r>
            <w:proofErr w:type="spellEnd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 xml:space="preserve"> butyl ester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604514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131</w:t>
            </w:r>
          </w:p>
        </w:tc>
      </w:tr>
      <w:tr w:rsidR="00EE4F21" w:rsidRPr="00EE4F21" w14:paraId="2FA1CA1E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BAD207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184FB5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7-Hexadecene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B67B36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152</w:t>
            </w:r>
          </w:p>
        </w:tc>
      </w:tr>
      <w:tr w:rsidR="00EE4F21" w:rsidRPr="00EE4F21" w14:paraId="349D3253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D3B258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6DC4D2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7,9-di-tert-butyl-1-oxaspiro(4,5)deca-6,9-diene-2,8-dione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2460AA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231</w:t>
            </w:r>
          </w:p>
        </w:tc>
      </w:tr>
      <w:tr w:rsidR="00EE4F21" w:rsidRPr="00EE4F21" w14:paraId="7B5FB055" w14:textId="77777777" w:rsidTr="00EE4F21">
        <w:trPr>
          <w:trHeight w:val="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06875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D3FCDC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cis-9-Hexadecenoic acid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987225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120</w:t>
            </w:r>
          </w:p>
        </w:tc>
      </w:tr>
      <w:tr w:rsidR="00EE4F21" w:rsidRPr="00EE4F21" w14:paraId="6FBD76F9" w14:textId="77777777" w:rsidTr="00EE4F21">
        <w:trPr>
          <w:trHeight w:val="2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FCA43E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19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359FA4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proofErr w:type="spellStart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Oleanitrile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3A0422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231</w:t>
            </w:r>
          </w:p>
        </w:tc>
      </w:tr>
      <w:tr w:rsidR="00EE4F21" w:rsidRPr="00EE4F21" w14:paraId="4301A073" w14:textId="77777777" w:rsidTr="00EE4F21">
        <w:trPr>
          <w:trHeight w:val="2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8A1A94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2A7DCE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cis-Vaccenic acid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28F9BD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1,440</w:t>
            </w:r>
          </w:p>
        </w:tc>
      </w:tr>
      <w:tr w:rsidR="00EE4F21" w:rsidRPr="00EE4F21" w14:paraId="0FD7E109" w14:textId="77777777" w:rsidTr="00EE4F21">
        <w:trPr>
          <w:trHeight w:val="2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753EFC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21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FE0FE8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9-Octadecenamide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B50043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32,700</w:t>
            </w:r>
          </w:p>
        </w:tc>
      </w:tr>
      <w:tr w:rsidR="00EE4F21" w:rsidRPr="00EE4F21" w14:paraId="42C0C4C1" w14:textId="77777777" w:rsidTr="00EE4F21">
        <w:trPr>
          <w:trHeight w:val="2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E0CFD0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22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914B96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Octadecanoic acid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0D77FB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148</w:t>
            </w:r>
          </w:p>
        </w:tc>
      </w:tr>
      <w:tr w:rsidR="00EE4F21" w:rsidRPr="00EE4F21" w14:paraId="7764B20B" w14:textId="77777777" w:rsidTr="00EE4F21">
        <w:trPr>
          <w:trHeight w:val="256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490198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23</w:t>
            </w:r>
          </w:p>
        </w:tc>
        <w:tc>
          <w:tcPr>
            <w:tcW w:w="656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CF0A20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proofErr w:type="spellStart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Hexadecanamide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C4224C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849</w:t>
            </w:r>
          </w:p>
        </w:tc>
      </w:tr>
      <w:tr w:rsidR="00EE4F21" w:rsidRPr="00EE4F21" w14:paraId="21972A58" w14:textId="77777777" w:rsidTr="00EE4F21">
        <w:trPr>
          <w:trHeight w:val="256"/>
        </w:trPr>
        <w:tc>
          <w:tcPr>
            <w:tcW w:w="569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0F5A89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11346E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proofErr w:type="spellStart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Hexanediotic</w:t>
            </w:r>
            <w:proofErr w:type="spellEnd"/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 xml:space="preserve"> acid bis(2-ethylhexyl) ester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1520C7" w14:textId="77777777" w:rsidR="00EE4F21" w:rsidRPr="00EE4F21" w:rsidRDefault="00EE4F21" w:rsidP="00EE4F21">
            <w:pPr>
              <w:wordWrap/>
              <w:spacing w:after="0" w:line="240" w:lineRule="auto"/>
              <w:jc w:val="center"/>
              <w:textAlignment w:val="baseline"/>
              <w:rPr>
                <w:rFonts w:ascii="Palatino Linotype" w:eastAsia="굴림" w:hAnsi="Palatino Linotype" w:cs="굴림"/>
                <w:color w:val="000000"/>
                <w:kern w:val="0"/>
                <w:szCs w:val="20"/>
              </w:rPr>
            </w:pPr>
            <w:r w:rsidRPr="00EE4F21">
              <w:rPr>
                <w:rFonts w:ascii="Palatino Linotype" w:eastAsia="함초롬바탕" w:hAnsi="Palatino Linotype" w:cs="굴림"/>
                <w:color w:val="000000"/>
                <w:kern w:val="0"/>
                <w:szCs w:val="20"/>
              </w:rPr>
              <w:t>236</w:t>
            </w:r>
          </w:p>
        </w:tc>
      </w:tr>
    </w:tbl>
    <w:p w14:paraId="3F402BDA" w14:textId="77777777" w:rsidR="00132C1E" w:rsidRDefault="00677411">
      <w:pPr>
        <w:rPr>
          <w:rFonts w:ascii="Palatino Linotype" w:hAnsi="Palatino Linotype" w:cs="Times New Roman"/>
          <w:szCs w:val="20"/>
          <w:lang w:val="en-GB"/>
        </w:rPr>
      </w:pPr>
      <w:r w:rsidRPr="00677411">
        <w:rPr>
          <w:rFonts w:ascii="Palatino Linotype" w:hAnsi="Palatino Linotype" w:cs="Times New Roman"/>
          <w:szCs w:val="20"/>
          <w:lang w:val="en-GB"/>
        </w:rPr>
        <w:t xml:space="preserve">The table </w:t>
      </w:r>
      <w:r w:rsidR="000C6A06">
        <w:rPr>
          <w:rFonts w:ascii="Palatino Linotype" w:hAnsi="Palatino Linotype" w:cs="Times New Roman"/>
          <w:szCs w:val="20"/>
          <w:lang w:val="en-GB"/>
        </w:rPr>
        <w:t>above is</w:t>
      </w:r>
      <w:r w:rsidR="000C6A06" w:rsidRPr="000C6A06">
        <w:rPr>
          <w:rFonts w:ascii="Palatino Linotype" w:hAnsi="Palatino Linotype" w:cs="Times New Roman"/>
          <w:szCs w:val="20"/>
          <w:lang w:val="en-GB"/>
        </w:rPr>
        <w:t xml:space="preserve"> excerpted from</w:t>
      </w:r>
      <w:r w:rsidRPr="00677411">
        <w:rPr>
          <w:rFonts w:ascii="Palatino Linotype" w:hAnsi="Palatino Linotype" w:cs="Times New Roman"/>
          <w:szCs w:val="20"/>
          <w:lang w:val="en-GB"/>
        </w:rPr>
        <w:t xml:space="preserve"> the summary page of the report (</w:t>
      </w:r>
      <w:r w:rsidR="00EE4F21">
        <w:rPr>
          <w:rFonts w:ascii="Palatino Linotype" w:hAnsi="Palatino Linotype" w:cs="Times New Roman"/>
          <w:szCs w:val="20"/>
          <w:lang w:val="en-GB"/>
        </w:rPr>
        <w:t>A-19-0572-11</w:t>
      </w:r>
      <w:r w:rsidRPr="00677411">
        <w:rPr>
          <w:rFonts w:ascii="Palatino Linotype" w:hAnsi="Palatino Linotype" w:cs="Times New Roman"/>
          <w:szCs w:val="20"/>
          <w:lang w:val="en-GB"/>
        </w:rPr>
        <w:t xml:space="preserve">) published by The </w:t>
      </w:r>
      <w:r w:rsidR="00EE4F21" w:rsidRPr="00EE4F21">
        <w:rPr>
          <w:rFonts w:ascii="Palatino Linotype" w:hAnsi="Palatino Linotype" w:cs="Times New Roman"/>
          <w:szCs w:val="20"/>
          <w:lang w:val="en-GB"/>
        </w:rPr>
        <w:t>Korea Institute of Materials Convergence Technology</w:t>
      </w:r>
      <w:r w:rsidR="00EE4F21">
        <w:rPr>
          <w:rFonts w:ascii="Palatino Linotype" w:hAnsi="Palatino Linotype" w:cs="Times New Roman"/>
          <w:szCs w:val="20"/>
          <w:lang w:val="en-GB"/>
        </w:rPr>
        <w:t xml:space="preserve"> (</w:t>
      </w:r>
      <w:r w:rsidR="00EE4F21" w:rsidRPr="00EE4F21">
        <w:rPr>
          <w:rFonts w:ascii="Palatino Linotype" w:hAnsi="Palatino Linotype" w:cs="Times New Roman"/>
          <w:szCs w:val="20"/>
          <w:lang w:val="en-GB"/>
        </w:rPr>
        <w:t>Korea Institute of</w:t>
      </w:r>
      <w:r w:rsidR="00EE4F21">
        <w:rPr>
          <w:rFonts w:ascii="Palatino Linotype" w:hAnsi="Palatino Linotype" w:cs="Times New Roman"/>
          <w:szCs w:val="20"/>
          <w:lang w:val="en-GB"/>
        </w:rPr>
        <w:t xml:space="preserve"> Footwear and Leather </w:t>
      </w:r>
      <w:r w:rsidR="00EE4F21" w:rsidRPr="00EE4F21">
        <w:rPr>
          <w:rFonts w:ascii="Palatino Linotype" w:hAnsi="Palatino Linotype" w:cs="Times New Roman"/>
          <w:szCs w:val="20"/>
          <w:lang w:val="en-GB"/>
        </w:rPr>
        <w:t>Technology</w:t>
      </w:r>
      <w:r w:rsidR="00EE4F21">
        <w:rPr>
          <w:rFonts w:ascii="Palatino Linotype" w:hAnsi="Palatino Linotype" w:cs="Times New Roman"/>
          <w:szCs w:val="20"/>
          <w:lang w:val="en-GB"/>
        </w:rPr>
        <w:t>)</w:t>
      </w:r>
      <w:r w:rsidR="000C6A06">
        <w:rPr>
          <w:rFonts w:ascii="Palatino Linotype" w:hAnsi="Palatino Linotype" w:cs="Times New Roman"/>
          <w:szCs w:val="20"/>
          <w:lang w:val="en-GB"/>
        </w:rPr>
        <w:t>.</w:t>
      </w:r>
    </w:p>
    <w:p w14:paraId="1BDF1D08" w14:textId="77777777" w:rsidR="000C6A06" w:rsidRDefault="000C6A06">
      <w:pPr>
        <w:rPr>
          <w:rFonts w:ascii="Palatino Linotype" w:hAnsi="Palatino Linotype" w:cs="Times New Roman"/>
          <w:szCs w:val="20"/>
          <w:lang w:val="en-GB"/>
        </w:rPr>
      </w:pPr>
    </w:p>
    <w:p w14:paraId="59697AFF" w14:textId="77777777" w:rsidR="000C6A06" w:rsidRDefault="000C6A06">
      <w:pPr>
        <w:rPr>
          <w:rFonts w:ascii="Palatino Linotype" w:hAnsi="Palatino Linotype"/>
          <w:lang w:val="en-GB"/>
        </w:rPr>
      </w:pPr>
      <w:r w:rsidRPr="000C6A06">
        <w:rPr>
          <w:rFonts w:ascii="Palatino Linotype" w:hAnsi="Palatino Linotype"/>
          <w:noProof/>
        </w:rPr>
        <w:lastRenderedPageBreak/>
        <w:drawing>
          <wp:inline distT="0" distB="0" distL="0" distR="0" wp14:anchorId="5BDB11E6" wp14:editId="7E4A8D3A">
            <wp:extent cx="5653617" cy="3588232"/>
            <wp:effectExtent l="0" t="0" r="4445" b="0"/>
            <wp:docPr id="1" name="그림 1" descr="F:\data set\연구\알러지성 피부염\2024\CeBiNES\Figure\MHP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data set\연구\알러지성 피부염\2024\CeBiNES\Figure\MHPL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793" cy="3603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0603A" w14:textId="2A36B572" w:rsidR="000C6A06" w:rsidRPr="00424625" w:rsidRDefault="00424625" w:rsidP="00424625">
      <w:pPr>
        <w:pStyle w:val="MDPI51figurecaption"/>
        <w:ind w:left="0"/>
      </w:pPr>
      <w:r w:rsidRPr="00FA04F1">
        <w:rPr>
          <w:b/>
        </w:rPr>
        <w:t xml:space="preserve">Figure </w:t>
      </w:r>
      <w:r>
        <w:rPr>
          <w:b/>
        </w:rPr>
        <w:t>S</w:t>
      </w:r>
      <w:r w:rsidR="00761E27">
        <w:rPr>
          <w:b/>
        </w:rPr>
        <w:t>2</w:t>
      </w:r>
      <w:r w:rsidRPr="00FA04F1">
        <w:rPr>
          <w:b/>
        </w:rPr>
        <w:t xml:space="preserve">. </w:t>
      </w:r>
      <w:r w:rsidRPr="00266674">
        <w:t>The</w:t>
      </w:r>
      <w:r>
        <w:rPr>
          <w:b/>
        </w:rPr>
        <w:t xml:space="preserve"> </w:t>
      </w:r>
      <w:r>
        <w:t xml:space="preserve">components of </w:t>
      </w:r>
      <w:proofErr w:type="spellStart"/>
      <w:r>
        <w:t>CeBiNES</w:t>
      </w:r>
      <w:proofErr w:type="spellEnd"/>
      <w:r w:rsidRPr="00266674">
        <w:t xml:space="preserve"> </w:t>
      </w:r>
      <w:r w:rsidRPr="00424625">
        <w:t>This analysis was performed on August 27, 2019 by The Korea Institute of Materials Convergence Technology</w:t>
      </w:r>
      <w:r>
        <w:t xml:space="preserve"> </w:t>
      </w:r>
      <w:r w:rsidRPr="00677411">
        <w:rPr>
          <w:lang w:val="en-GB"/>
        </w:rPr>
        <w:t>(</w:t>
      </w:r>
      <w:r>
        <w:rPr>
          <w:lang w:val="en-GB"/>
        </w:rPr>
        <w:t>A-19-0572-11</w:t>
      </w:r>
      <w:r w:rsidRPr="00677411">
        <w:rPr>
          <w:lang w:val="en-GB"/>
        </w:rPr>
        <w:t>)</w:t>
      </w:r>
      <w:r w:rsidRPr="00424625">
        <w:t>.</w:t>
      </w:r>
    </w:p>
    <w:sectPr w:rsidR="000C6A06" w:rsidRPr="00424625" w:rsidSect="00FB363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EE799" w14:textId="77777777" w:rsidR="00E57134" w:rsidRDefault="00E57134" w:rsidP="00240E9B">
      <w:pPr>
        <w:spacing w:after="0" w:line="240" w:lineRule="auto"/>
      </w:pPr>
      <w:r>
        <w:separator/>
      </w:r>
    </w:p>
  </w:endnote>
  <w:endnote w:type="continuationSeparator" w:id="0">
    <w:p w14:paraId="634B1CF0" w14:textId="77777777" w:rsidR="00E57134" w:rsidRDefault="00E57134" w:rsidP="00240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E6FFD" w14:textId="77777777" w:rsidR="00E57134" w:rsidRDefault="00E57134" w:rsidP="00240E9B">
      <w:pPr>
        <w:spacing w:after="0" w:line="240" w:lineRule="auto"/>
      </w:pPr>
      <w:r>
        <w:separator/>
      </w:r>
    </w:p>
  </w:footnote>
  <w:footnote w:type="continuationSeparator" w:id="0">
    <w:p w14:paraId="6477C1E8" w14:textId="77777777" w:rsidR="00E57134" w:rsidRDefault="00E57134" w:rsidP="00240E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152"/>
    <w:rsid w:val="000C1148"/>
    <w:rsid w:val="000C6A06"/>
    <w:rsid w:val="000E6438"/>
    <w:rsid w:val="00132C1E"/>
    <w:rsid w:val="00151BAA"/>
    <w:rsid w:val="00166ADE"/>
    <w:rsid w:val="00197867"/>
    <w:rsid w:val="001D3F14"/>
    <w:rsid w:val="00240E9B"/>
    <w:rsid w:val="0029716F"/>
    <w:rsid w:val="00302781"/>
    <w:rsid w:val="0031594A"/>
    <w:rsid w:val="0034447B"/>
    <w:rsid w:val="003950F2"/>
    <w:rsid w:val="003A5CA8"/>
    <w:rsid w:val="003C1814"/>
    <w:rsid w:val="003C36CC"/>
    <w:rsid w:val="003F3AE4"/>
    <w:rsid w:val="00423FA8"/>
    <w:rsid w:val="00424625"/>
    <w:rsid w:val="00443152"/>
    <w:rsid w:val="00466E9D"/>
    <w:rsid w:val="004C29B5"/>
    <w:rsid w:val="004D4EBC"/>
    <w:rsid w:val="004F124E"/>
    <w:rsid w:val="005046BF"/>
    <w:rsid w:val="0050779D"/>
    <w:rsid w:val="005372ED"/>
    <w:rsid w:val="00576729"/>
    <w:rsid w:val="005A072F"/>
    <w:rsid w:val="00600AD1"/>
    <w:rsid w:val="00627391"/>
    <w:rsid w:val="00636BD9"/>
    <w:rsid w:val="00653C70"/>
    <w:rsid w:val="00677411"/>
    <w:rsid w:val="0069380A"/>
    <w:rsid w:val="006B715F"/>
    <w:rsid w:val="006B797E"/>
    <w:rsid w:val="0072778C"/>
    <w:rsid w:val="00734A00"/>
    <w:rsid w:val="007538A7"/>
    <w:rsid w:val="00761E27"/>
    <w:rsid w:val="007E08EA"/>
    <w:rsid w:val="008542EE"/>
    <w:rsid w:val="00867269"/>
    <w:rsid w:val="00880513"/>
    <w:rsid w:val="00895171"/>
    <w:rsid w:val="008F41F8"/>
    <w:rsid w:val="0096415E"/>
    <w:rsid w:val="009737A9"/>
    <w:rsid w:val="009B128A"/>
    <w:rsid w:val="009F1C16"/>
    <w:rsid w:val="00A2436D"/>
    <w:rsid w:val="00A30346"/>
    <w:rsid w:val="00A40AEE"/>
    <w:rsid w:val="00B02B3B"/>
    <w:rsid w:val="00B111E2"/>
    <w:rsid w:val="00B36943"/>
    <w:rsid w:val="00B93E0A"/>
    <w:rsid w:val="00BC5810"/>
    <w:rsid w:val="00C2322C"/>
    <w:rsid w:val="00D621A5"/>
    <w:rsid w:val="00D84974"/>
    <w:rsid w:val="00DF4F24"/>
    <w:rsid w:val="00E350C1"/>
    <w:rsid w:val="00E57134"/>
    <w:rsid w:val="00E658B7"/>
    <w:rsid w:val="00EE4F21"/>
    <w:rsid w:val="00EE77B9"/>
    <w:rsid w:val="00F946F0"/>
    <w:rsid w:val="00FB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76BED"/>
  <w15:chartTrackingRefBased/>
  <w15:docId w15:val="{DDA582B9-5BB9-42FB-B013-121EB006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72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40E9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40E9B"/>
  </w:style>
  <w:style w:type="paragraph" w:styleId="a5">
    <w:name w:val="footer"/>
    <w:basedOn w:val="a"/>
    <w:link w:val="Char0"/>
    <w:uiPriority w:val="99"/>
    <w:unhideWhenUsed/>
    <w:rsid w:val="00240E9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40E9B"/>
  </w:style>
  <w:style w:type="paragraph" w:customStyle="1" w:styleId="a6">
    <w:name w:val="바탕글"/>
    <w:basedOn w:val="a"/>
    <w:rsid w:val="00240E9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xl66">
    <w:name w:val="xl66"/>
    <w:basedOn w:val="a"/>
    <w:rsid w:val="00240E9B"/>
    <w:pPr>
      <w:wordWrap/>
      <w:spacing w:after="0" w:line="240" w:lineRule="auto"/>
      <w:jc w:val="left"/>
      <w:textAlignment w:val="center"/>
    </w:pPr>
    <w:rPr>
      <w:rFonts w:ascii="맑은 고딕" w:eastAsia="굴림" w:hAnsi="굴림" w:cs="굴림"/>
      <w:color w:val="0563C1"/>
      <w:kern w:val="0"/>
      <w:sz w:val="22"/>
    </w:rPr>
  </w:style>
  <w:style w:type="paragraph" w:customStyle="1" w:styleId="td">
    <w:name w:val="td"/>
    <w:basedOn w:val="a"/>
    <w:rsid w:val="00240E9B"/>
    <w:pPr>
      <w:wordWrap/>
      <w:spacing w:after="0" w:line="240" w:lineRule="auto"/>
      <w:textAlignment w:val="center"/>
    </w:pPr>
    <w:rPr>
      <w:rFonts w:ascii="맑은 고딕" w:eastAsia="굴림" w:hAnsi="굴림" w:cs="굴림"/>
      <w:color w:val="000000"/>
      <w:kern w:val="0"/>
      <w:sz w:val="22"/>
    </w:rPr>
  </w:style>
  <w:style w:type="paragraph" w:customStyle="1" w:styleId="xl68">
    <w:name w:val="xl68"/>
    <w:basedOn w:val="a"/>
    <w:rsid w:val="00240E9B"/>
    <w:pPr>
      <w:shd w:val="clear" w:color="auto" w:fill="F6FCFF"/>
      <w:wordWrap/>
      <w:spacing w:after="0" w:line="240" w:lineRule="auto"/>
      <w:jc w:val="left"/>
      <w:textAlignment w:val="center"/>
    </w:pPr>
    <w:rPr>
      <w:rFonts w:ascii="맑은 고딕" w:eastAsia="굴림" w:hAnsi="굴림" w:cs="굴림"/>
      <w:color w:val="0563C1"/>
      <w:kern w:val="0"/>
      <w:sz w:val="22"/>
    </w:rPr>
  </w:style>
  <w:style w:type="paragraph" w:customStyle="1" w:styleId="xl70">
    <w:name w:val="xl70"/>
    <w:basedOn w:val="a"/>
    <w:rsid w:val="00240E9B"/>
    <w:pPr>
      <w:shd w:val="clear" w:color="auto" w:fill="F6FCFF"/>
      <w:wordWrap/>
      <w:spacing w:after="0" w:line="240" w:lineRule="auto"/>
      <w:jc w:val="left"/>
      <w:textAlignment w:val="center"/>
    </w:pPr>
    <w:rPr>
      <w:rFonts w:ascii="Arial" w:eastAsia="굴림" w:hAnsi="굴림" w:cs="굴림"/>
      <w:color w:val="000000"/>
      <w:kern w:val="0"/>
      <w:sz w:val="22"/>
    </w:rPr>
  </w:style>
  <w:style w:type="character" w:styleId="a7">
    <w:name w:val="Hyperlink"/>
    <w:basedOn w:val="a0"/>
    <w:uiPriority w:val="99"/>
    <w:unhideWhenUsed/>
    <w:rsid w:val="00132C1E"/>
    <w:rPr>
      <w:color w:val="0563C1" w:themeColor="hyperlink"/>
      <w:u w:val="single"/>
    </w:rPr>
  </w:style>
  <w:style w:type="paragraph" w:customStyle="1" w:styleId="MDPI51figurecaption">
    <w:name w:val="MDPI_5.1_figure_caption"/>
    <w:qFormat/>
    <w:rsid w:val="00424625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2025-03-16T06:37:00Z</dcterms:created>
  <dcterms:modified xsi:type="dcterms:W3CDTF">2025-08-04T06:42:00Z</dcterms:modified>
</cp:coreProperties>
</file>